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EC" w:rsidRPr="005836EC" w:rsidRDefault="005836EC" w:rsidP="005836EC">
      <w:pPr>
        <w:pStyle w:val="NormalnyWeb"/>
        <w:jc w:val="center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Plan  szkolenia</w:t>
      </w:r>
    </w:p>
    <w:p w:rsidR="005836EC" w:rsidRPr="005836EC" w:rsidRDefault="005836EC" w:rsidP="005836EC">
      <w:pPr>
        <w:pStyle w:val="NormalnyWeb"/>
        <w:jc w:val="center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Zakopane, 30 maja- 1 czerwca 2014 r.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  <w:u w:val="single"/>
        </w:rPr>
        <w:t>Piątek  30 maja 2014 r.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zakwaterowanie od godziny 10-tej</w:t>
      </w:r>
    </w:p>
    <w:p w:rsidR="005836EC" w:rsidRPr="005836EC" w:rsidRDefault="005836EC" w:rsidP="005836EC">
      <w:pPr>
        <w:spacing w:line="360" w:lineRule="auto"/>
      </w:pPr>
      <w:r w:rsidRPr="005836EC">
        <w:rPr>
          <w:rStyle w:val="Pogrubienie"/>
        </w:rPr>
        <w:t> 11</w:t>
      </w:r>
      <w:r w:rsidRPr="005836EC">
        <w:rPr>
          <w:rStyle w:val="Pogrubienie"/>
          <w:vertAlign w:val="superscript"/>
        </w:rPr>
        <w:t>00</w:t>
      </w:r>
      <w:r w:rsidRPr="005836EC">
        <w:rPr>
          <w:rStyle w:val="Pogrubienie"/>
        </w:rPr>
        <w:t>-13</w:t>
      </w:r>
      <w:r w:rsidRPr="005836EC">
        <w:rPr>
          <w:rStyle w:val="Pogrubienie"/>
          <w:vertAlign w:val="superscript"/>
        </w:rPr>
        <w:t>00</w:t>
      </w:r>
      <w:r w:rsidRPr="005836EC">
        <w:rPr>
          <w:rStyle w:val="Pogrubienie"/>
        </w:rPr>
        <w:t>     wykład :</w:t>
      </w:r>
      <w:r w:rsidRPr="005836EC">
        <w:rPr>
          <w:b/>
          <w:bCs/>
        </w:rPr>
        <w:t xml:space="preserve"> </w:t>
      </w:r>
      <w:r w:rsidRPr="005836EC">
        <w:rPr>
          <w:rFonts w:eastAsia="Arial Unicode MS"/>
          <w:b/>
          <w:u w:val="single"/>
        </w:rPr>
        <w:t>PRZEDAWNIENIE ROSZCZEŃ</w:t>
      </w:r>
    </w:p>
    <w:p w:rsidR="005836EC" w:rsidRPr="005836EC" w:rsidRDefault="005836EC" w:rsidP="005836EC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Problem dawności w prawie cywilnym: przedawnienie i terminy zawite.</w:t>
      </w:r>
    </w:p>
    <w:p w:rsidR="005836EC" w:rsidRPr="005836EC" w:rsidRDefault="005836EC" w:rsidP="005836EC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Prawo właściwe dla przedawnienia:</w:t>
      </w:r>
    </w:p>
    <w:p w:rsidR="005836EC" w:rsidRPr="005836EC" w:rsidRDefault="005836EC" w:rsidP="005836EC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Prawo krajowe, a prawo prywatne międzynarodowe; Wybór prawa właściwego;</w:t>
      </w:r>
    </w:p>
    <w:p w:rsidR="005836EC" w:rsidRPr="005836EC" w:rsidRDefault="005836EC" w:rsidP="005836EC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Prawo krajowe, a prawo międzynarodowe:</w:t>
      </w:r>
      <w:r w:rsidRPr="005836EC">
        <w:rPr>
          <w:rFonts w:eastAsia="Arial Unicode MS"/>
          <w:bCs/>
          <w:color w:val="000000"/>
        </w:rPr>
        <w:t xml:space="preserve"> Konwencja o przedawnieniu </w:t>
      </w:r>
      <w:r w:rsidRPr="005836EC">
        <w:rPr>
          <w:rFonts w:eastAsia="Arial Unicode MS"/>
          <w:bCs/>
          <w:color w:val="000000"/>
        </w:rPr>
        <w:br/>
        <w:t>w międzynarodowej sprzedaży towarów;</w:t>
      </w:r>
    </w:p>
    <w:p w:rsidR="005836EC" w:rsidRPr="005836EC" w:rsidRDefault="005836EC" w:rsidP="005836EC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Prawo zagraniczne wybranych krajów w zakresie przedawnienia: Niemcy, Czechy, Słowacja, Ukraina, Rosja.</w:t>
      </w:r>
    </w:p>
    <w:p w:rsidR="005836EC" w:rsidRPr="005836EC" w:rsidRDefault="005836EC" w:rsidP="005836EC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Terminy przedawnienia:</w:t>
      </w:r>
    </w:p>
    <w:p w:rsidR="005836EC" w:rsidRPr="005836EC" w:rsidRDefault="005836EC" w:rsidP="005836EC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Terminy ogólne z Kodeksu cywilnego;</w:t>
      </w:r>
    </w:p>
    <w:p w:rsidR="005836EC" w:rsidRPr="005836EC" w:rsidRDefault="005836EC" w:rsidP="005836EC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Terminy szczególne z kodeksu cywilnego;</w:t>
      </w:r>
    </w:p>
    <w:p w:rsidR="005836EC" w:rsidRPr="005836EC" w:rsidRDefault="005836EC" w:rsidP="005836EC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Terminy szczególne z przepisów pozakodeksowych;</w:t>
      </w:r>
    </w:p>
    <w:p w:rsidR="005836EC" w:rsidRPr="005836EC" w:rsidRDefault="005836EC" w:rsidP="005836EC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 w:rsidRPr="005836EC">
        <w:rPr>
          <w:rFonts w:eastAsia="Arial Unicode MS"/>
        </w:rPr>
        <w:t>Przerwanie biegu terminu przedawnienia, ze szczególnym uwzględnieniem twierdzenia uznania roszczenia.</w:t>
      </w:r>
    </w:p>
    <w:p w:rsidR="005836EC" w:rsidRPr="005836EC" w:rsidRDefault="005836EC" w:rsidP="005836EC">
      <w:pPr>
        <w:pStyle w:val="NormalnyWeb"/>
        <w:rPr>
          <w:rStyle w:val="Pogrubienie"/>
          <w:rFonts w:ascii="Times New Roman" w:hAnsi="Times New Roman" w:cs="Times New Roman"/>
          <w:u w:val="single"/>
        </w:rPr>
      </w:pPr>
      <w:r w:rsidRPr="00FA5CA4">
        <w:rPr>
          <w:rStyle w:val="Pogrubienie"/>
          <w:rFonts w:ascii="Times New Roman" w:hAnsi="Times New Roman" w:cs="Times New Roman"/>
          <w:u w:val="single"/>
        </w:rPr>
        <w:t>Wykładowca:</w:t>
      </w:r>
      <w:r w:rsidRPr="005836EC">
        <w:rPr>
          <w:rStyle w:val="Pogrubienie"/>
          <w:rFonts w:ascii="Times New Roman" w:hAnsi="Times New Roman" w:cs="Times New Roman"/>
        </w:rPr>
        <w:t xml:space="preserve"> Sędzia Sądu Rejonowego w Tarnowie Zbigniew Miczek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Fonts w:ascii="Times New Roman" w:hAnsi="Times New Roman" w:cs="Times New Roman"/>
        </w:rPr>
        <w:t> </w:t>
      </w:r>
      <w:r w:rsidRPr="005836EC">
        <w:rPr>
          <w:rStyle w:val="Pogrubienie"/>
          <w:rFonts w:ascii="Times New Roman" w:hAnsi="Times New Roman" w:cs="Times New Roman"/>
        </w:rPr>
        <w:t>13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-15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     obiad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15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-19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 xml:space="preserve">     </w:t>
      </w:r>
      <w:proofErr w:type="spellStart"/>
      <w:r w:rsidRPr="005836EC">
        <w:rPr>
          <w:rStyle w:val="Pogrubienie"/>
          <w:rFonts w:ascii="Times New Roman" w:hAnsi="Times New Roman" w:cs="Times New Roman"/>
        </w:rPr>
        <w:t>c.d.wykładu</w:t>
      </w:r>
      <w:proofErr w:type="spellEnd"/>
      <w:r w:rsidRPr="005836EC">
        <w:rPr>
          <w:rStyle w:val="Pogrubienie"/>
          <w:rFonts w:ascii="Times New Roman" w:hAnsi="Times New Roman" w:cs="Times New Roman"/>
        </w:rPr>
        <w:t xml:space="preserve">   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przerwa  kawowa - 17-17.15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od 19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30</w:t>
      </w:r>
      <w:r w:rsidRPr="005836EC">
        <w:rPr>
          <w:rStyle w:val="Pogrubienie"/>
          <w:rFonts w:ascii="Times New Roman" w:hAnsi="Times New Roman" w:cs="Times New Roman"/>
        </w:rPr>
        <w:t>        kolacja grillowa na świeżym powietrzu</w:t>
      </w:r>
      <w:r w:rsidRPr="005836EC">
        <w:rPr>
          <w:rFonts w:ascii="Times New Roman" w:hAnsi="Times New Roman" w:cs="Times New Roman"/>
        </w:rPr>
        <w:t> 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  <w:u w:val="single"/>
        </w:rPr>
        <w:t xml:space="preserve">Sobota  31 maja 2014 r. </w:t>
      </w:r>
    </w:p>
    <w:p w:rsidR="005836EC" w:rsidRDefault="005836EC" w:rsidP="005836EC">
      <w:pPr>
        <w:rPr>
          <w:rFonts w:eastAsia="Arial Unicode MS"/>
        </w:rPr>
      </w:pPr>
      <w:r w:rsidRPr="005836EC">
        <w:rPr>
          <w:rStyle w:val="Pogrubienie"/>
        </w:rPr>
        <w:t> 9</w:t>
      </w:r>
      <w:r w:rsidRPr="005836EC">
        <w:rPr>
          <w:rStyle w:val="Pogrubienie"/>
          <w:vertAlign w:val="superscript"/>
        </w:rPr>
        <w:t>00</w:t>
      </w:r>
      <w:r w:rsidRPr="005836EC">
        <w:rPr>
          <w:rStyle w:val="Pogrubienie"/>
        </w:rPr>
        <w:t>-13</w:t>
      </w:r>
      <w:r w:rsidRPr="005836EC">
        <w:rPr>
          <w:rStyle w:val="Pogrubienie"/>
          <w:vertAlign w:val="superscript"/>
        </w:rPr>
        <w:t>15</w:t>
      </w:r>
      <w:r w:rsidRPr="005836EC">
        <w:rPr>
          <w:rStyle w:val="Pogrubienie"/>
        </w:rPr>
        <w:t xml:space="preserve">       wykład </w:t>
      </w:r>
      <w:r w:rsidRPr="005836EC">
        <w:rPr>
          <w:rStyle w:val="Pogrubienie"/>
          <w:rFonts w:eastAsia="Arial Unicode MS"/>
        </w:rPr>
        <w:t>:</w:t>
      </w:r>
      <w:r w:rsidRPr="005836EC">
        <w:rPr>
          <w:rFonts w:eastAsia="Arial Unicode MS"/>
          <w:b/>
        </w:rPr>
        <w:t xml:space="preserve"> </w:t>
      </w:r>
      <w:r w:rsidRPr="005836EC">
        <w:rPr>
          <w:rFonts w:eastAsia="Arial Unicode MS"/>
        </w:rPr>
        <w:t>„</w:t>
      </w:r>
      <w:r w:rsidRPr="005836EC">
        <w:rPr>
          <w:rFonts w:eastAsia="Arial Unicode MS"/>
          <w:b/>
          <w:bCs/>
        </w:rPr>
        <w:t>Aktualne zagadnienia z zakresu zamówień publicznych: podwyższenie „progów”, rażąco niska cena, zasoby podmiotów trzecich i podwykonawstwo.</w:t>
      </w:r>
      <w:r w:rsidRPr="005836EC">
        <w:rPr>
          <w:rFonts w:eastAsia="Arial Unicode MS"/>
        </w:rPr>
        <w:t>”</w:t>
      </w:r>
    </w:p>
    <w:p w:rsidR="00FA5CA4" w:rsidRPr="005836EC" w:rsidRDefault="00FA5CA4" w:rsidP="005836EC">
      <w:pPr>
        <w:rPr>
          <w:rFonts w:eastAsia="Arial Unicode MS"/>
          <w:b/>
        </w:rPr>
      </w:pPr>
      <w:bookmarkStart w:id="0" w:name="_GoBack"/>
      <w:bookmarkEnd w:id="0"/>
    </w:p>
    <w:p w:rsidR="005836EC" w:rsidRPr="005836EC" w:rsidRDefault="005836EC" w:rsidP="005836EC">
      <w:pPr>
        <w:ind w:left="720" w:hanging="360"/>
        <w:rPr>
          <w:rFonts w:eastAsia="Arial Unicode MS"/>
        </w:rPr>
      </w:pPr>
      <w:r w:rsidRPr="005836EC">
        <w:rPr>
          <w:rFonts w:eastAsia="Arial Unicode MS"/>
        </w:rPr>
        <w:t>1.</w:t>
      </w:r>
      <w:r w:rsidRPr="005836EC">
        <w:rPr>
          <w:rFonts w:eastAsia="Arial Unicode MS"/>
          <w:sz w:val="14"/>
          <w:szCs w:val="14"/>
        </w:rPr>
        <w:t xml:space="preserve">      </w:t>
      </w:r>
      <w:r w:rsidRPr="005836EC">
        <w:rPr>
          <w:rFonts w:eastAsia="Arial Unicode MS"/>
        </w:rPr>
        <w:t>Konsekwencje podwyższenia progu zastosowania pr</w:t>
      </w:r>
      <w:r>
        <w:rPr>
          <w:rFonts w:eastAsia="Arial Unicode MS"/>
        </w:rPr>
        <w:t xml:space="preserve">ocedur przewidzianych w ustawie </w:t>
      </w:r>
      <w:proofErr w:type="spellStart"/>
      <w:r w:rsidRPr="005836EC">
        <w:rPr>
          <w:rFonts w:eastAsia="Arial Unicode MS"/>
        </w:rPr>
        <w:t>Pzp</w:t>
      </w:r>
      <w:proofErr w:type="spellEnd"/>
      <w:r w:rsidRPr="005836EC">
        <w:rPr>
          <w:rFonts w:eastAsia="Arial Unicode MS"/>
        </w:rPr>
        <w:t>, tzw. „progu bagatelności” z 14 000 do 30 000 euro.</w:t>
      </w:r>
    </w:p>
    <w:p w:rsidR="005836EC" w:rsidRPr="005836EC" w:rsidRDefault="005836EC" w:rsidP="005836EC">
      <w:pPr>
        <w:ind w:left="720" w:hanging="360"/>
        <w:rPr>
          <w:rFonts w:eastAsia="Arial Unicode MS"/>
        </w:rPr>
      </w:pPr>
      <w:r w:rsidRPr="005836EC">
        <w:rPr>
          <w:rFonts w:eastAsia="Arial Unicode MS"/>
        </w:rPr>
        <w:lastRenderedPageBreak/>
        <w:t>2.</w:t>
      </w:r>
      <w:r w:rsidRPr="005836EC">
        <w:rPr>
          <w:rFonts w:eastAsia="Arial Unicode MS"/>
          <w:sz w:val="14"/>
          <w:szCs w:val="14"/>
        </w:rPr>
        <w:t xml:space="preserve">      </w:t>
      </w:r>
      <w:r w:rsidRPr="005836EC">
        <w:rPr>
          <w:rFonts w:eastAsia="Arial Unicode MS"/>
        </w:rPr>
        <w:t xml:space="preserve">Wymagania prawa unijnego oraz ustawy finansów publicznych w zakresie zamówień publicznych, do których udzielania nie mają zastosowania procedury przewidziane w ustawie </w:t>
      </w:r>
      <w:proofErr w:type="spellStart"/>
      <w:r w:rsidRPr="005836EC">
        <w:rPr>
          <w:rFonts w:eastAsia="Arial Unicode MS"/>
        </w:rPr>
        <w:t>Pzp</w:t>
      </w:r>
      <w:proofErr w:type="spellEnd"/>
      <w:r w:rsidRPr="005836EC">
        <w:rPr>
          <w:rFonts w:eastAsia="Arial Unicode MS"/>
        </w:rPr>
        <w:t>.</w:t>
      </w:r>
    </w:p>
    <w:p w:rsidR="005836EC" w:rsidRPr="005836EC" w:rsidRDefault="005836EC" w:rsidP="005836EC">
      <w:pPr>
        <w:ind w:left="720" w:hanging="360"/>
        <w:rPr>
          <w:rFonts w:eastAsia="Arial Unicode MS"/>
        </w:rPr>
      </w:pPr>
      <w:r w:rsidRPr="005836EC">
        <w:rPr>
          <w:rFonts w:eastAsia="Arial Unicode MS"/>
        </w:rPr>
        <w:t>3.</w:t>
      </w:r>
      <w:r w:rsidRPr="005836EC">
        <w:rPr>
          <w:rFonts w:eastAsia="Arial Unicode MS"/>
          <w:sz w:val="14"/>
          <w:szCs w:val="14"/>
        </w:rPr>
        <w:t xml:space="preserve">      </w:t>
      </w:r>
      <w:r w:rsidRPr="005836EC">
        <w:rPr>
          <w:rFonts w:eastAsia="Arial Unicode MS"/>
        </w:rPr>
        <w:t>Komunikat wyjaśniający Komisji Europejskiej z dn. 1 sierpnia 2006 r. dotyczący prawa wspólnotowego obowiązującego w dziedzinie udzielania zamówień publicznych, które nie są lub są częściowo objęte dyrektywami w sprawie zamówień publicznych (2006/C 179/02).</w:t>
      </w:r>
    </w:p>
    <w:p w:rsidR="005836EC" w:rsidRPr="005836EC" w:rsidRDefault="005836EC" w:rsidP="005836EC">
      <w:pPr>
        <w:ind w:left="720" w:hanging="360"/>
        <w:rPr>
          <w:rFonts w:eastAsia="Arial Unicode MS"/>
        </w:rPr>
      </w:pPr>
      <w:r w:rsidRPr="005836EC">
        <w:rPr>
          <w:rFonts w:eastAsia="Arial Unicode MS"/>
        </w:rPr>
        <w:t>4.</w:t>
      </w:r>
      <w:r w:rsidRPr="005836EC">
        <w:rPr>
          <w:rFonts w:eastAsia="Arial Unicode MS"/>
          <w:sz w:val="14"/>
          <w:szCs w:val="14"/>
        </w:rPr>
        <w:t xml:space="preserve">      </w:t>
      </w:r>
      <w:r w:rsidRPr="005836EC">
        <w:rPr>
          <w:rFonts w:eastAsia="Arial Unicode MS"/>
        </w:rPr>
        <w:t xml:space="preserve">Zmiany w </w:t>
      </w:r>
      <w:proofErr w:type="spellStart"/>
      <w:r w:rsidRPr="005836EC">
        <w:rPr>
          <w:rFonts w:eastAsia="Arial Unicode MS"/>
        </w:rPr>
        <w:t>Pzp</w:t>
      </w:r>
      <w:proofErr w:type="spellEnd"/>
      <w:r w:rsidRPr="005836EC">
        <w:rPr>
          <w:rFonts w:eastAsia="Arial Unicode MS"/>
        </w:rPr>
        <w:t xml:space="preserve"> dotyczące zamawiających z sektor naukowo-badawczego oraz z zakresu kultury i sztuki.</w:t>
      </w:r>
    </w:p>
    <w:p w:rsidR="005836EC" w:rsidRPr="005836EC" w:rsidRDefault="005836EC" w:rsidP="005836EC">
      <w:pPr>
        <w:ind w:left="720" w:hanging="360"/>
        <w:rPr>
          <w:rFonts w:eastAsia="Arial Unicode MS"/>
        </w:rPr>
      </w:pPr>
      <w:r w:rsidRPr="005836EC">
        <w:rPr>
          <w:rFonts w:eastAsia="Arial Unicode MS"/>
        </w:rPr>
        <w:t>5.</w:t>
      </w:r>
      <w:r w:rsidRPr="005836EC">
        <w:rPr>
          <w:rFonts w:eastAsia="Arial Unicode MS"/>
          <w:sz w:val="14"/>
          <w:szCs w:val="14"/>
        </w:rPr>
        <w:t xml:space="preserve">      </w:t>
      </w:r>
      <w:r w:rsidRPr="005836EC">
        <w:rPr>
          <w:rFonts w:eastAsia="Arial Unicode MS"/>
        </w:rPr>
        <w:t>Zmiany w zakresie wartości progów unijnych oraz kursu złotego w stosunku do euro, które obowiązują od dnia 1 stycznia 2014 przez okres kolejnych dwóch lat (znaczenie tzw. „progów unijnych” w zamówieniach publicznych Polski i innych państw członkowskich Unii Europejskiej).</w:t>
      </w:r>
    </w:p>
    <w:p w:rsidR="005836EC" w:rsidRPr="005836EC" w:rsidRDefault="005836EC" w:rsidP="005836EC">
      <w:pPr>
        <w:ind w:left="720" w:hanging="360"/>
        <w:rPr>
          <w:rFonts w:eastAsia="Arial Unicode MS"/>
        </w:rPr>
      </w:pPr>
      <w:r w:rsidRPr="005836EC">
        <w:rPr>
          <w:rFonts w:eastAsia="Arial Unicode MS"/>
        </w:rPr>
        <w:t>6.</w:t>
      </w:r>
      <w:r w:rsidRPr="005836EC">
        <w:rPr>
          <w:rFonts w:eastAsia="Arial Unicode MS"/>
          <w:sz w:val="14"/>
          <w:szCs w:val="14"/>
        </w:rPr>
        <w:t xml:space="preserve">      </w:t>
      </w:r>
      <w:r w:rsidRPr="005836EC">
        <w:rPr>
          <w:rFonts w:eastAsia="Arial Unicode MS"/>
        </w:rPr>
        <w:t xml:space="preserve">Wdrożenie zgodnej z prawem unijnym oraz orzeczeniem Trybunału Sprawiedliwości Unii Europejskiej z dn. 13 grudnia 2012 r. C-465/11 </w:t>
      </w:r>
      <w:proofErr w:type="spellStart"/>
      <w:r w:rsidRPr="005836EC">
        <w:rPr>
          <w:rFonts w:eastAsia="Arial Unicode MS"/>
        </w:rPr>
        <w:t>Forposta</w:t>
      </w:r>
      <w:proofErr w:type="spellEnd"/>
      <w:r w:rsidRPr="005836EC">
        <w:rPr>
          <w:rFonts w:eastAsia="Arial Unicode MS"/>
        </w:rPr>
        <w:t xml:space="preserve"> przesłanki wykluczenia wykonawcy dotyczącej poważnego wykroczenia zawodowego.</w:t>
      </w:r>
    </w:p>
    <w:p w:rsidR="005836EC" w:rsidRDefault="005836EC" w:rsidP="005836EC">
      <w:pPr>
        <w:ind w:left="720" w:hanging="360"/>
        <w:rPr>
          <w:rFonts w:eastAsia="Arial Unicode MS"/>
        </w:rPr>
      </w:pPr>
      <w:r w:rsidRPr="005836EC">
        <w:rPr>
          <w:rFonts w:eastAsia="Arial Unicode MS"/>
        </w:rPr>
        <w:t>7.</w:t>
      </w:r>
      <w:r w:rsidRPr="005836EC">
        <w:rPr>
          <w:rFonts w:eastAsia="Arial Unicode MS"/>
          <w:sz w:val="14"/>
          <w:szCs w:val="14"/>
        </w:rPr>
        <w:t xml:space="preserve">      </w:t>
      </w:r>
      <w:r w:rsidRPr="005836EC">
        <w:rPr>
          <w:rFonts w:eastAsia="Arial Unicode MS"/>
        </w:rPr>
        <w:t>Zastosowanie przesłanki wykluczania wykonawców z uwagi na przynależność do tej samej grupy kapitałowej.</w:t>
      </w:r>
    </w:p>
    <w:p w:rsidR="00FA5CA4" w:rsidRPr="005836EC" w:rsidRDefault="00FA5CA4" w:rsidP="005836EC">
      <w:pPr>
        <w:ind w:left="720" w:hanging="360"/>
        <w:rPr>
          <w:rFonts w:eastAsia="Arial Unicode MS"/>
        </w:rPr>
      </w:pPr>
    </w:p>
    <w:p w:rsidR="005836EC" w:rsidRPr="005836EC" w:rsidRDefault="005836EC" w:rsidP="005836EC">
      <w:pPr>
        <w:rPr>
          <w:rStyle w:val="Pogrubienie"/>
          <w:rFonts w:eastAsia="Arial Unicode MS"/>
          <w:b w:val="0"/>
          <w:bCs w:val="0"/>
        </w:rPr>
      </w:pPr>
      <w:r w:rsidRPr="005836EC">
        <w:rPr>
          <w:rStyle w:val="Pogrubienie"/>
          <w:u w:val="single"/>
        </w:rPr>
        <w:t>Wykładowca</w:t>
      </w:r>
      <w:r w:rsidRPr="005836EC">
        <w:rPr>
          <w:rStyle w:val="Pogrubienie"/>
        </w:rPr>
        <w:t xml:space="preserve">: </w:t>
      </w:r>
      <w:r w:rsidRPr="005836EC">
        <w:rPr>
          <w:rFonts w:eastAsia="Arial Unicode MS"/>
          <w:b/>
          <w:bCs/>
        </w:rPr>
        <w:t>radca prawny  Rafał Jędrzejewski, dyrektor Departamentu Prawnego Urzędu Zamówień Publicznych.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przerwa kawowa  10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45</w:t>
      </w:r>
      <w:r w:rsidRPr="005836EC">
        <w:rPr>
          <w:rStyle w:val="Pogrubienie"/>
          <w:rFonts w:ascii="Times New Roman" w:hAnsi="Times New Roman" w:cs="Times New Roman"/>
        </w:rPr>
        <w:t>-11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przerwa obiadowa 13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15</w:t>
      </w:r>
      <w:r w:rsidRPr="005836EC">
        <w:rPr>
          <w:rStyle w:val="Pogrubienie"/>
          <w:rFonts w:ascii="Times New Roman" w:hAnsi="Times New Roman" w:cs="Times New Roman"/>
        </w:rPr>
        <w:t>-15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15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15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15</w:t>
      </w:r>
      <w:r w:rsidRPr="005836EC">
        <w:rPr>
          <w:rStyle w:val="Pogrubienie"/>
          <w:rFonts w:ascii="Times New Roman" w:hAnsi="Times New Roman" w:cs="Times New Roman"/>
        </w:rPr>
        <w:t>-18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15</w:t>
      </w:r>
      <w:r w:rsidRPr="005836EC">
        <w:rPr>
          <w:rStyle w:val="Pogrubienie"/>
          <w:rFonts w:ascii="Times New Roman" w:hAnsi="Times New Roman" w:cs="Times New Roman"/>
        </w:rPr>
        <w:t xml:space="preserve">    c.d. wykładu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przerwa kawowa  17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-17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15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19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 xml:space="preserve">            Kolacja integracyjna 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</w:t>
      </w:r>
      <w:r w:rsidRPr="005836EC">
        <w:rPr>
          <w:rStyle w:val="Pogrubienie"/>
          <w:rFonts w:ascii="Times New Roman" w:hAnsi="Times New Roman" w:cs="Times New Roman"/>
          <w:color w:val="FF0000"/>
        </w:rPr>
        <w:t xml:space="preserve">Uwaga: uczestnicy, którzy wyjadą po zakończeniu wykładu ,  nie wezmą udziału w kolacji i nie będą nocować z 30 maja/1 czerwca  br. są zobowiązani do pisemnego powiadomienia o tym do dnia  5 maja 2014 r. na adres e-mailowy: </w:t>
      </w:r>
      <w:hyperlink r:id="rId6" w:history="1">
        <w:r w:rsidRPr="005836EC">
          <w:rPr>
            <w:rStyle w:val="Hipercze"/>
            <w:rFonts w:ascii="Times New Roman" w:hAnsi="Times New Roman" w:cs="Times New Roman"/>
            <w:b/>
            <w:bCs/>
          </w:rPr>
          <w:t>szkolenia@oirp.krakow.pl</w:t>
        </w:r>
      </w:hyperlink>
      <w:r w:rsidRPr="005836EC">
        <w:rPr>
          <w:rStyle w:val="Pogrubienie"/>
          <w:rFonts w:ascii="Times New Roman" w:hAnsi="Times New Roman" w:cs="Times New Roman"/>
          <w:color w:val="FF0000"/>
        </w:rPr>
        <w:t xml:space="preserve"> pod rygorem dodatkowego obciążenia kosztami kolacji i noclegu. 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  <w:u w:val="single"/>
        </w:rPr>
        <w:t>Niedziela 1 czerwca  2014 r.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8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-9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30</w:t>
      </w:r>
      <w:r w:rsidRPr="005836EC">
        <w:rPr>
          <w:rStyle w:val="Pogrubienie"/>
          <w:rFonts w:ascii="Times New Roman" w:hAnsi="Times New Roman" w:cs="Times New Roman"/>
        </w:rPr>
        <w:t xml:space="preserve">        śniadanie</w:t>
      </w:r>
    </w:p>
    <w:p w:rsidR="005836EC" w:rsidRPr="005836EC" w:rsidRDefault="005836EC" w:rsidP="005836EC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ZAKOŃCZENIE SZKOLENIA</w:t>
      </w:r>
    </w:p>
    <w:p w:rsidR="005836EC" w:rsidRPr="005836EC" w:rsidRDefault="005836EC" w:rsidP="005836EC"/>
    <w:p w:rsidR="00071AE1" w:rsidRPr="005836EC" w:rsidRDefault="00071AE1"/>
    <w:sectPr w:rsidR="00071AE1" w:rsidRPr="0058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DB8"/>
    <w:multiLevelType w:val="hybridMultilevel"/>
    <w:tmpl w:val="E3781392"/>
    <w:lvl w:ilvl="0" w:tplc="9E98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364"/>
    <w:multiLevelType w:val="hybridMultilevel"/>
    <w:tmpl w:val="10EECE52"/>
    <w:lvl w:ilvl="0" w:tplc="0C8A6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997180"/>
    <w:multiLevelType w:val="hybridMultilevel"/>
    <w:tmpl w:val="46569E88"/>
    <w:lvl w:ilvl="0" w:tplc="DEC0F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C"/>
    <w:rsid w:val="00071AE1"/>
    <w:rsid w:val="00300583"/>
    <w:rsid w:val="0045297C"/>
    <w:rsid w:val="005836EC"/>
    <w:rsid w:val="0084109B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836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5836EC"/>
    <w:rPr>
      <w:b/>
      <w:bCs/>
    </w:rPr>
  </w:style>
  <w:style w:type="character" w:styleId="Hipercze">
    <w:name w:val="Hyperlink"/>
    <w:basedOn w:val="Domylnaczcionkaakapitu"/>
    <w:semiHidden/>
    <w:rsid w:val="005836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836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5836EC"/>
    <w:rPr>
      <w:b/>
      <w:bCs/>
    </w:rPr>
  </w:style>
  <w:style w:type="character" w:styleId="Hipercze">
    <w:name w:val="Hyperlink"/>
    <w:basedOn w:val="Domylnaczcionkaakapitu"/>
    <w:semiHidden/>
    <w:rsid w:val="005836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oir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2014-03-08T23:10:00Z</dcterms:created>
  <dcterms:modified xsi:type="dcterms:W3CDTF">2014-03-08T23:10:00Z</dcterms:modified>
</cp:coreProperties>
</file>